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D3D" w:rsidRDefault="00326D3D" w:rsidP="00522291">
      <w:pPr>
        <w:spacing w:after="0"/>
      </w:pPr>
    </w:p>
    <w:p w:rsidR="00522291" w:rsidRDefault="00522291" w:rsidP="00522291">
      <w:pPr>
        <w:spacing w:after="0"/>
      </w:pPr>
      <w:r>
        <w:t>Caritas sisačke biskupije</w:t>
      </w:r>
    </w:p>
    <w:p w:rsidR="00522291" w:rsidRDefault="00522291" w:rsidP="00522291">
      <w:pPr>
        <w:spacing w:after="0"/>
      </w:pPr>
      <w:r>
        <w:t>Trg bana Josipa Jelačića 1, 44000 Sisak</w:t>
      </w:r>
    </w:p>
    <w:p w:rsidR="00522291" w:rsidRDefault="00522291" w:rsidP="00522291">
      <w:pPr>
        <w:spacing w:after="0"/>
      </w:pPr>
      <w:r>
        <w:t>OIB 49058451412</w:t>
      </w:r>
    </w:p>
    <w:p w:rsidR="00522291" w:rsidRDefault="00522291" w:rsidP="00522291">
      <w:pPr>
        <w:spacing w:after="0"/>
      </w:pPr>
      <w:r>
        <w:t>Tel.  044 530 222</w:t>
      </w:r>
    </w:p>
    <w:p w:rsidR="00522291" w:rsidRDefault="00522291" w:rsidP="00522291">
      <w:pPr>
        <w:spacing w:after="0"/>
      </w:pPr>
      <w:r>
        <w:t>Fax  044 530 223</w:t>
      </w:r>
    </w:p>
    <w:p w:rsidR="00522291" w:rsidRDefault="00522291" w:rsidP="00522291">
      <w:pPr>
        <w:spacing w:after="0"/>
      </w:pPr>
      <w:r>
        <w:t>e-mail: caritas@biskupija-sisak.hr</w:t>
      </w:r>
    </w:p>
    <w:p w:rsidR="00522291" w:rsidRDefault="003F4CE1" w:rsidP="00522291">
      <w:pPr>
        <w:spacing w:after="0"/>
      </w:pPr>
      <w:hyperlink r:id="rId8" w:history="1">
        <w:r w:rsidR="00522291" w:rsidRPr="00BB7EC0">
          <w:rPr>
            <w:rStyle w:val="Hyperlink"/>
          </w:rPr>
          <w:t>www.caritas.biskupija-sisak.hr</w:t>
        </w:r>
      </w:hyperlink>
    </w:p>
    <w:p w:rsidR="00522291" w:rsidRDefault="00522291" w:rsidP="00522291">
      <w:pPr>
        <w:spacing w:after="0"/>
      </w:pPr>
    </w:p>
    <w:p w:rsidR="00522291" w:rsidRDefault="008578D9" w:rsidP="00522291">
      <w:pPr>
        <w:spacing w:after="0"/>
      </w:pPr>
      <w:r>
        <w:t>Sisak, 31</w:t>
      </w:r>
      <w:r w:rsidR="00522291">
        <w:t>. kolovoza 2018.</w:t>
      </w:r>
    </w:p>
    <w:p w:rsidR="00522291" w:rsidRDefault="00522291" w:rsidP="00522291">
      <w:pPr>
        <w:spacing w:after="0"/>
      </w:pPr>
    </w:p>
    <w:p w:rsidR="00522291" w:rsidRDefault="00522291" w:rsidP="00522291">
      <w:pPr>
        <w:spacing w:after="0"/>
        <w:jc w:val="right"/>
      </w:pPr>
      <w:r>
        <w:t xml:space="preserve">Svim zainteresiranim gospodarskim subjektima </w:t>
      </w:r>
    </w:p>
    <w:p w:rsidR="00522291" w:rsidRDefault="00522291" w:rsidP="00522291">
      <w:pPr>
        <w:spacing w:after="0"/>
        <w:jc w:val="right"/>
      </w:pPr>
      <w:r>
        <w:t>za postupak javnog nadmetanja</w:t>
      </w:r>
    </w:p>
    <w:p w:rsidR="00522291" w:rsidRDefault="00522291" w:rsidP="00522291">
      <w:pPr>
        <w:spacing w:after="0"/>
        <w:jc w:val="right"/>
      </w:pPr>
    </w:p>
    <w:p w:rsidR="00522291" w:rsidRDefault="00522291" w:rsidP="00522291">
      <w:pPr>
        <w:spacing w:after="0"/>
        <w:jc w:val="right"/>
      </w:pPr>
      <w:r>
        <w:t>Predmet nabave: Nabava paketa hrane</w:t>
      </w:r>
    </w:p>
    <w:p w:rsidR="00522291" w:rsidRDefault="00522291" w:rsidP="00522291">
      <w:pPr>
        <w:spacing w:after="0"/>
        <w:jc w:val="right"/>
      </w:pPr>
      <w:r>
        <w:t>Ev. br. nabave: 01/2018</w:t>
      </w:r>
    </w:p>
    <w:p w:rsidR="00522291" w:rsidRDefault="00522291" w:rsidP="00522291">
      <w:pPr>
        <w:spacing w:after="0"/>
        <w:jc w:val="right"/>
      </w:pPr>
    </w:p>
    <w:p w:rsidR="00522291" w:rsidRDefault="00522291" w:rsidP="00522291">
      <w:pPr>
        <w:spacing w:after="0"/>
      </w:pPr>
      <w:r>
        <w:rPr>
          <w:b/>
        </w:rPr>
        <w:t xml:space="preserve">PREDMET: </w:t>
      </w:r>
      <w:r>
        <w:t>Objašnjenja i izmjene dokumentacije za nadmetanje</w:t>
      </w:r>
    </w:p>
    <w:p w:rsidR="00522291" w:rsidRDefault="00522291" w:rsidP="00522291">
      <w:pPr>
        <w:spacing w:after="0"/>
      </w:pPr>
    </w:p>
    <w:p w:rsidR="00522291" w:rsidRDefault="008578D9" w:rsidP="00522291">
      <w:pPr>
        <w:spacing w:after="0"/>
      </w:pPr>
      <w:r>
        <w:t>Temeljem zahtjeva za Pojašnjenjem</w:t>
      </w:r>
      <w:r w:rsidR="00522291">
        <w:t xml:space="preserve"> Dokumentacije za nadmetanje</w:t>
      </w:r>
      <w:r>
        <w:t xml:space="preserve">, </w:t>
      </w:r>
      <w:bookmarkStart w:id="0" w:name="_GoBack"/>
      <w:bookmarkEnd w:id="0"/>
      <w:r w:rsidR="00522291">
        <w:t>Naručitelj dostavlja:</w:t>
      </w:r>
    </w:p>
    <w:p w:rsidR="00522291" w:rsidRDefault="00522291" w:rsidP="00522291">
      <w:pPr>
        <w:spacing w:after="0"/>
      </w:pPr>
    </w:p>
    <w:p w:rsidR="00522291" w:rsidRDefault="005855EB" w:rsidP="00522291">
      <w:pPr>
        <w:spacing w:after="0"/>
        <w:jc w:val="center"/>
        <w:rPr>
          <w:b/>
        </w:rPr>
      </w:pPr>
      <w:r>
        <w:rPr>
          <w:b/>
        </w:rPr>
        <w:t>Upiti i odgovori br. 3</w:t>
      </w:r>
    </w:p>
    <w:p w:rsidR="00522291" w:rsidRDefault="00522291" w:rsidP="00522291">
      <w:pPr>
        <w:spacing w:after="0"/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6"/>
        <w:gridCol w:w="3533"/>
        <w:gridCol w:w="2659"/>
      </w:tblGrid>
      <w:tr w:rsidR="0051468C" w:rsidTr="006B7819">
        <w:tc>
          <w:tcPr>
            <w:tcW w:w="3096" w:type="dxa"/>
          </w:tcPr>
          <w:p w:rsidR="0051468C" w:rsidRDefault="0051468C" w:rsidP="00522291">
            <w:pPr>
              <w:jc w:val="center"/>
              <w:rPr>
                <w:b/>
              </w:rPr>
            </w:pPr>
            <w:r>
              <w:rPr>
                <w:b/>
              </w:rPr>
              <w:t>UPIT</w:t>
            </w:r>
          </w:p>
        </w:tc>
        <w:tc>
          <w:tcPr>
            <w:tcW w:w="3533" w:type="dxa"/>
          </w:tcPr>
          <w:p w:rsidR="0051468C" w:rsidRDefault="0051468C" w:rsidP="00522291">
            <w:pPr>
              <w:jc w:val="center"/>
              <w:rPr>
                <w:b/>
              </w:rPr>
            </w:pPr>
            <w:r>
              <w:rPr>
                <w:b/>
              </w:rPr>
              <w:t>ODGOVOR</w:t>
            </w:r>
          </w:p>
        </w:tc>
        <w:tc>
          <w:tcPr>
            <w:tcW w:w="2659" w:type="dxa"/>
          </w:tcPr>
          <w:p w:rsidR="0051468C" w:rsidRDefault="0051468C" w:rsidP="00522291">
            <w:pPr>
              <w:jc w:val="center"/>
              <w:rPr>
                <w:b/>
              </w:rPr>
            </w:pPr>
            <w:r>
              <w:rPr>
                <w:b/>
              </w:rPr>
              <w:t>POJAŠNJENJE/IZMJENA</w:t>
            </w:r>
          </w:p>
        </w:tc>
      </w:tr>
      <w:tr w:rsidR="0051468C" w:rsidTr="006B7819">
        <w:tc>
          <w:tcPr>
            <w:tcW w:w="3096" w:type="dxa"/>
          </w:tcPr>
          <w:p w:rsidR="005855EB" w:rsidRPr="005855EB" w:rsidRDefault="005855EB" w:rsidP="005855EB">
            <w:pPr>
              <w:pStyle w:val="ListParagraph"/>
              <w:numPr>
                <w:ilvl w:val="0"/>
                <w:numId w:val="5"/>
              </w:numPr>
              <w:ind w:left="426"/>
              <w:jc w:val="both"/>
              <w:rPr>
                <w:b/>
              </w:rPr>
            </w:pPr>
            <w:r w:rsidRPr="005855EB">
              <w:rPr>
                <w:b/>
              </w:rPr>
              <w:t>N</w:t>
            </w:r>
            <w:r w:rsidRPr="005855EB">
              <w:rPr>
                <w:b/>
              </w:rPr>
              <w:t>astavno na objavljen poziv i dokumentaciju za nadmetanje za Caritasove pakete radosti od strane Caritasa Sisačke biskupije molim Vas info:</w:t>
            </w:r>
          </w:p>
          <w:p w:rsidR="005855EB" w:rsidRPr="005855EB" w:rsidRDefault="005855EB" w:rsidP="005855EB">
            <w:pPr>
              <w:pStyle w:val="ListParagraph"/>
              <w:jc w:val="both"/>
              <w:rPr>
                <w:b/>
              </w:rPr>
            </w:pPr>
          </w:p>
          <w:p w:rsidR="005855EB" w:rsidRPr="005855EB" w:rsidRDefault="005855EB" w:rsidP="005855EB">
            <w:pPr>
              <w:pStyle w:val="ListParagraph"/>
              <w:ind w:left="567" w:hanging="141"/>
              <w:jc w:val="both"/>
              <w:rPr>
                <w:b/>
              </w:rPr>
            </w:pPr>
            <w:r>
              <w:rPr>
                <w:b/>
              </w:rPr>
              <w:t xml:space="preserve">1.1. </w:t>
            </w:r>
            <w:r w:rsidRPr="005855EB">
              <w:rPr>
                <w:b/>
              </w:rPr>
              <w:t>nabava paketa hrane – razni prehrambeni proizvodi – je li dopušteno slanje ponude samo za pakete za korisnike ili je obavezno slanje za obje vrste paketa (korisnici + pučka)?</w:t>
            </w:r>
          </w:p>
          <w:p w:rsidR="005855EB" w:rsidRPr="005855EB" w:rsidRDefault="005855EB" w:rsidP="005855EB">
            <w:pPr>
              <w:pStyle w:val="ListParagraph"/>
              <w:jc w:val="both"/>
              <w:rPr>
                <w:b/>
              </w:rPr>
            </w:pPr>
          </w:p>
          <w:p w:rsidR="0051468C" w:rsidRDefault="005855EB" w:rsidP="005855EB">
            <w:pPr>
              <w:pStyle w:val="ListParagraph"/>
              <w:ind w:left="567" w:hanging="141"/>
              <w:jc w:val="both"/>
              <w:rPr>
                <w:b/>
              </w:rPr>
            </w:pPr>
            <w:r>
              <w:rPr>
                <w:b/>
              </w:rPr>
              <w:t xml:space="preserve">1.2. </w:t>
            </w:r>
            <w:r w:rsidRPr="005855EB">
              <w:rPr>
                <w:b/>
              </w:rPr>
              <w:t xml:space="preserve">ako se predaje ponuda za obje grupe (razni prehrambeni i pekarski) trebaju li se dostaviti dvije zadužnice </w:t>
            </w:r>
            <w:r w:rsidRPr="005855EB">
              <w:rPr>
                <w:b/>
              </w:rPr>
              <w:lastRenderedPageBreak/>
              <w:t>ili je dovoljna jedna?</w:t>
            </w:r>
          </w:p>
          <w:p w:rsidR="00D9456E" w:rsidRDefault="00D9456E" w:rsidP="005855EB">
            <w:pPr>
              <w:pStyle w:val="ListParagraph"/>
              <w:ind w:left="567" w:hanging="141"/>
              <w:jc w:val="both"/>
              <w:rPr>
                <w:b/>
              </w:rPr>
            </w:pPr>
          </w:p>
          <w:p w:rsidR="00D9456E" w:rsidRDefault="00D9456E" w:rsidP="005855EB">
            <w:pPr>
              <w:pStyle w:val="ListParagraph"/>
              <w:ind w:left="567" w:hanging="141"/>
              <w:jc w:val="both"/>
              <w:rPr>
                <w:b/>
              </w:rPr>
            </w:pPr>
          </w:p>
          <w:p w:rsidR="00D9456E" w:rsidRDefault="00D9456E" w:rsidP="005855EB">
            <w:pPr>
              <w:pStyle w:val="ListParagraph"/>
              <w:ind w:left="567" w:hanging="141"/>
              <w:jc w:val="both"/>
              <w:rPr>
                <w:b/>
              </w:rPr>
            </w:pPr>
          </w:p>
          <w:p w:rsidR="00D9456E" w:rsidRDefault="00D9456E" w:rsidP="005855EB">
            <w:pPr>
              <w:pStyle w:val="ListParagraph"/>
              <w:ind w:left="567" w:hanging="141"/>
              <w:jc w:val="both"/>
              <w:rPr>
                <w:b/>
              </w:rPr>
            </w:pPr>
          </w:p>
          <w:p w:rsidR="00D9456E" w:rsidRDefault="00D9456E" w:rsidP="005855EB">
            <w:pPr>
              <w:pStyle w:val="ListParagraph"/>
              <w:ind w:left="567" w:hanging="141"/>
              <w:jc w:val="both"/>
              <w:rPr>
                <w:b/>
              </w:rPr>
            </w:pPr>
          </w:p>
          <w:p w:rsidR="00D9456E" w:rsidRPr="0051468C" w:rsidRDefault="00D9456E" w:rsidP="005855EB">
            <w:pPr>
              <w:pStyle w:val="ListParagraph"/>
              <w:ind w:left="567" w:hanging="141"/>
              <w:jc w:val="both"/>
              <w:rPr>
                <w:b/>
              </w:rPr>
            </w:pPr>
          </w:p>
        </w:tc>
        <w:tc>
          <w:tcPr>
            <w:tcW w:w="3533" w:type="dxa"/>
          </w:tcPr>
          <w:p w:rsidR="00D9456E" w:rsidRDefault="005855EB" w:rsidP="005855EB">
            <w:pPr>
              <w:spacing w:after="200" w:line="276" w:lineRule="auto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lastRenderedPageBreak/>
              <w:t xml:space="preserve">1.1. </w:t>
            </w:r>
            <w:r w:rsidR="00D9456E">
              <w:rPr>
                <w:rFonts w:eastAsia="Calibri"/>
                <w:b/>
              </w:rPr>
              <w:t>Nemože se nuditi samo jedna vrsta paketa, obje navedene vrste paketa pripadaju jednoj grupi.</w:t>
            </w:r>
          </w:p>
          <w:p w:rsidR="005855EB" w:rsidRPr="005855EB" w:rsidRDefault="005855EB" w:rsidP="005855EB">
            <w:pPr>
              <w:spacing w:after="200" w:line="276" w:lineRule="auto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U točki </w:t>
            </w:r>
            <w:r w:rsidRPr="005855EB">
              <w:rPr>
                <w:rFonts w:eastAsia="Calibri"/>
                <w:b/>
              </w:rPr>
              <w:t>2.2</w:t>
            </w:r>
            <w:r w:rsidRPr="005855EB">
              <w:rPr>
                <w:rFonts w:eastAsia="Calibri"/>
                <w:b/>
              </w:rPr>
              <w:tab/>
              <w:t>Opis i oznaka grupa predmeta nabave</w:t>
            </w:r>
            <w:r>
              <w:rPr>
                <w:rFonts w:eastAsia="Calibri"/>
                <w:b/>
              </w:rPr>
              <w:t xml:space="preserve"> Dokumentacije za nadmetanje stoji:</w:t>
            </w:r>
          </w:p>
          <w:p w:rsidR="005855EB" w:rsidRPr="005855EB" w:rsidRDefault="005855EB" w:rsidP="005855EB">
            <w:pPr>
              <w:jc w:val="both"/>
              <w:rPr>
                <w:rFonts w:eastAsia="Calibri"/>
                <w:i/>
              </w:rPr>
            </w:pPr>
            <w:r w:rsidRPr="005855EB">
              <w:rPr>
                <w:rFonts w:eastAsia="Calibri"/>
                <w:i/>
              </w:rPr>
              <w:t>Predmet nabave je podijeljen u 2 grupe, te se može nuditi i samo jedna grupa. Grupe predmeta nabave su sljedeće:</w:t>
            </w:r>
          </w:p>
          <w:p w:rsidR="005855EB" w:rsidRPr="005855EB" w:rsidRDefault="005855EB" w:rsidP="005855EB">
            <w:pPr>
              <w:jc w:val="both"/>
              <w:rPr>
                <w:rFonts w:eastAsia="Calibri"/>
                <w:i/>
              </w:rPr>
            </w:pPr>
            <w:r w:rsidRPr="005855EB">
              <w:rPr>
                <w:rFonts w:eastAsia="Calibri"/>
                <w:i/>
              </w:rPr>
              <w:t>1.</w:t>
            </w:r>
            <w:r w:rsidRPr="005855EB">
              <w:rPr>
                <w:rFonts w:eastAsia="Calibri"/>
                <w:i/>
              </w:rPr>
              <w:tab/>
              <w:t>Grupa: Razni prehrambreni proizvodi</w:t>
            </w:r>
          </w:p>
          <w:p w:rsidR="005855EB" w:rsidRPr="005855EB" w:rsidRDefault="005855EB" w:rsidP="005855EB">
            <w:pPr>
              <w:spacing w:after="200" w:line="276" w:lineRule="auto"/>
              <w:jc w:val="both"/>
              <w:rPr>
                <w:rFonts w:eastAsia="Calibri"/>
                <w:i/>
              </w:rPr>
            </w:pPr>
            <w:r w:rsidRPr="005855EB">
              <w:rPr>
                <w:rFonts w:eastAsia="Calibri"/>
                <w:i/>
              </w:rPr>
              <w:t>2.</w:t>
            </w:r>
            <w:r w:rsidRPr="005855EB">
              <w:rPr>
                <w:rFonts w:eastAsia="Calibri"/>
                <w:i/>
              </w:rPr>
              <w:tab/>
              <w:t>Grupa: Kruh i pekarski proizvodi</w:t>
            </w:r>
          </w:p>
          <w:p w:rsidR="0085059E" w:rsidRDefault="005855EB" w:rsidP="005855EB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Paketi hrane za korisnike i paketi hane za pučku kuhinju pripadaju  u istu grupu:     </w:t>
            </w:r>
            <w:r w:rsidRPr="005855EB">
              <w:rPr>
                <w:rFonts w:eastAsia="Calibri"/>
                <w:b/>
              </w:rPr>
              <w:t>1.</w:t>
            </w:r>
            <w:r w:rsidRPr="005855EB">
              <w:rPr>
                <w:rFonts w:eastAsia="Calibri"/>
                <w:b/>
              </w:rPr>
              <w:tab/>
            </w:r>
            <w:r>
              <w:rPr>
                <w:rFonts w:eastAsia="Calibri"/>
                <w:b/>
              </w:rPr>
              <w:t xml:space="preserve"> Grupa: </w:t>
            </w:r>
            <w:r w:rsidRPr="005855EB">
              <w:rPr>
                <w:rFonts w:eastAsia="Calibri"/>
                <w:b/>
              </w:rPr>
              <w:t>Razni prehrambreni proizvodi</w:t>
            </w:r>
            <w:r w:rsidR="00D9456E">
              <w:rPr>
                <w:rFonts w:eastAsia="Calibri"/>
                <w:b/>
              </w:rPr>
              <w:t>.</w:t>
            </w:r>
          </w:p>
          <w:p w:rsidR="00D9456E" w:rsidRDefault="00D9456E" w:rsidP="005855EB">
            <w:pPr>
              <w:jc w:val="both"/>
              <w:rPr>
                <w:rFonts w:eastAsia="Calibri"/>
                <w:b/>
              </w:rPr>
            </w:pPr>
          </w:p>
          <w:p w:rsidR="00D9456E" w:rsidRDefault="00D9456E" w:rsidP="005855EB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lastRenderedPageBreak/>
              <w:t>1.2. Da, trebaju se dostaviti dvije zadužnice</w:t>
            </w:r>
            <w:r w:rsidR="00F55AC2">
              <w:rPr>
                <w:rFonts w:eastAsia="Calibri"/>
                <w:b/>
              </w:rPr>
              <w:t>.</w:t>
            </w:r>
          </w:p>
          <w:p w:rsidR="00D9456E" w:rsidRDefault="00D9456E" w:rsidP="005855EB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Gospodarski subjekti trebaju dostaviti zadužnicu za svaku grupu posebno</w:t>
            </w:r>
            <w:r w:rsidR="00F55AC2">
              <w:rPr>
                <w:rFonts w:eastAsia="Calibri"/>
                <w:b/>
              </w:rPr>
              <w:t>.</w:t>
            </w:r>
          </w:p>
          <w:p w:rsidR="00F55AC2" w:rsidRDefault="00F55AC2" w:rsidP="005855EB">
            <w:pPr>
              <w:jc w:val="both"/>
              <w:rPr>
                <w:rFonts w:eastAsia="Calibri"/>
                <w:b/>
              </w:rPr>
            </w:pPr>
          </w:p>
          <w:p w:rsidR="00F55AC2" w:rsidRDefault="00F55AC2" w:rsidP="005855EB">
            <w:pPr>
              <w:jc w:val="both"/>
              <w:rPr>
                <w:rFonts w:eastAsia="Calibri"/>
                <w:b/>
              </w:rPr>
            </w:pPr>
          </w:p>
          <w:p w:rsidR="00F55AC2" w:rsidRPr="00F55AC2" w:rsidRDefault="00F55AC2" w:rsidP="00F55AC2">
            <w:pPr>
              <w:jc w:val="both"/>
              <w:rPr>
                <w:i/>
              </w:rPr>
            </w:pPr>
            <w:r w:rsidRPr="00F55AC2">
              <w:rPr>
                <w:i/>
              </w:rPr>
              <w:t>6.3.1</w:t>
            </w:r>
            <w:r w:rsidRPr="00F55AC2">
              <w:rPr>
                <w:i/>
              </w:rPr>
              <w:tab/>
              <w:t>Jamstvo za ozbiljnost ponude</w:t>
            </w:r>
          </w:p>
          <w:p w:rsidR="00F55AC2" w:rsidRPr="00F55AC2" w:rsidRDefault="00F55AC2" w:rsidP="00F55AC2">
            <w:pPr>
              <w:jc w:val="both"/>
              <w:rPr>
                <w:i/>
              </w:rPr>
            </w:pPr>
          </w:p>
          <w:p w:rsidR="00F55AC2" w:rsidRPr="00F55AC2" w:rsidRDefault="00F55AC2" w:rsidP="00F55AC2">
            <w:pPr>
              <w:jc w:val="both"/>
              <w:rPr>
                <w:i/>
              </w:rPr>
            </w:pPr>
            <w:r w:rsidRPr="00F55AC2">
              <w:rPr>
                <w:b/>
                <w:i/>
              </w:rPr>
              <w:t>Ponuditelj je dužan dostaviti jamstvo za ozbiljnost ponude na iznos od  3% procijenjene vrijednosti javne nabave, odnosno 3% procijenjene vrijednosti za onu grupu za koju ponuditelj daje svoju ponudu</w:t>
            </w:r>
            <w:r w:rsidRPr="00F55AC2">
              <w:rPr>
                <w:i/>
              </w:rPr>
              <w:t xml:space="preserve"> s rokom važenja sukladno roku valjanosti ponude u obliku bankarske garancije plative na „prvi poziv“ i „bez prigovora“ ili bjanko zadužnice ovjerene kod javnog bilježnika. U bankarskoj garanciji mora biti navedeno slijedeće:</w:t>
            </w:r>
          </w:p>
          <w:p w:rsidR="00F55AC2" w:rsidRPr="00F55AC2" w:rsidRDefault="00F55AC2" w:rsidP="00F55AC2">
            <w:pPr>
              <w:jc w:val="both"/>
              <w:rPr>
                <w:i/>
              </w:rPr>
            </w:pPr>
            <w:r w:rsidRPr="00F55AC2">
              <w:rPr>
                <w:i/>
              </w:rPr>
              <w:t>•</w:t>
            </w:r>
            <w:r w:rsidRPr="00F55AC2">
              <w:rPr>
                <w:i/>
              </w:rPr>
              <w:tab/>
              <w:t>da je korisnik garancije Caritas Sisačke biskupije,</w:t>
            </w:r>
          </w:p>
          <w:p w:rsidR="00F55AC2" w:rsidRPr="00F55AC2" w:rsidRDefault="00F55AC2" w:rsidP="00F55AC2">
            <w:pPr>
              <w:jc w:val="both"/>
              <w:rPr>
                <w:i/>
              </w:rPr>
            </w:pPr>
            <w:r w:rsidRPr="00F55AC2">
              <w:rPr>
                <w:i/>
              </w:rPr>
              <w:t>•</w:t>
            </w:r>
            <w:r w:rsidRPr="00F55AC2">
              <w:rPr>
                <w:i/>
              </w:rPr>
              <w:tab/>
              <w:t>da se garant obvezuje bezuvjetno, neopozivo i na prvi pismeni poziv korisnika garancije, bez prigovora isplatiti iznos u slučaju:</w:t>
            </w:r>
          </w:p>
          <w:p w:rsidR="00F55AC2" w:rsidRPr="00F55AC2" w:rsidRDefault="00F55AC2" w:rsidP="00F55AC2">
            <w:pPr>
              <w:jc w:val="both"/>
              <w:rPr>
                <w:i/>
              </w:rPr>
            </w:pPr>
            <w:r w:rsidRPr="00F55AC2">
              <w:rPr>
                <w:i/>
              </w:rPr>
              <w:t xml:space="preserve">- odustajanja gospodarskog subjekta od svoje ponude u roku njezine valjanosti, </w:t>
            </w:r>
          </w:p>
          <w:p w:rsidR="00F55AC2" w:rsidRPr="00F55AC2" w:rsidRDefault="00F55AC2" w:rsidP="00F55AC2">
            <w:pPr>
              <w:jc w:val="both"/>
              <w:rPr>
                <w:i/>
              </w:rPr>
            </w:pPr>
            <w:r w:rsidRPr="00F55AC2">
              <w:rPr>
                <w:i/>
              </w:rPr>
              <w:t>- nedostavljanja ažuriranih popratnih dokumenata sukladno članku 263. ZJN,</w:t>
            </w:r>
          </w:p>
          <w:p w:rsidR="00F55AC2" w:rsidRPr="00F55AC2" w:rsidRDefault="00F55AC2" w:rsidP="00F55AC2">
            <w:pPr>
              <w:jc w:val="both"/>
              <w:rPr>
                <w:i/>
              </w:rPr>
            </w:pPr>
            <w:r w:rsidRPr="00F55AC2">
              <w:rPr>
                <w:i/>
              </w:rPr>
              <w:t>- neprihvaćanja ispravka računske greške</w:t>
            </w:r>
          </w:p>
          <w:p w:rsidR="00F55AC2" w:rsidRPr="00F55AC2" w:rsidRDefault="00F55AC2" w:rsidP="00F55AC2">
            <w:pPr>
              <w:jc w:val="both"/>
              <w:rPr>
                <w:i/>
              </w:rPr>
            </w:pPr>
            <w:r w:rsidRPr="00F55AC2">
              <w:rPr>
                <w:i/>
              </w:rPr>
              <w:t>- odbijanja potpisivanja Ugovora o javnoj nabavi</w:t>
            </w:r>
          </w:p>
          <w:p w:rsidR="00F55AC2" w:rsidRPr="00F55AC2" w:rsidRDefault="00F55AC2" w:rsidP="00F55AC2">
            <w:pPr>
              <w:jc w:val="both"/>
              <w:rPr>
                <w:i/>
              </w:rPr>
            </w:pPr>
            <w:r w:rsidRPr="00F55AC2">
              <w:rPr>
                <w:i/>
              </w:rPr>
              <w:t xml:space="preserve">- nedostavljanja jamstva za uredno ispunjenje Ugovora. </w:t>
            </w:r>
          </w:p>
          <w:p w:rsidR="00F55AC2" w:rsidRPr="00F55AC2" w:rsidRDefault="00F55AC2" w:rsidP="00F55AC2">
            <w:pPr>
              <w:jc w:val="both"/>
              <w:rPr>
                <w:i/>
              </w:rPr>
            </w:pPr>
            <w:r w:rsidRPr="00F55AC2">
              <w:rPr>
                <w:i/>
              </w:rPr>
              <w:t xml:space="preserve">Umjesto bankarske garancije, gospodarski subjekt može dati novčani polog u iznosu od 3% procijenjene vrijednosti javne nabave, odnosno 3% procijenjene vrijednosti za onu grupu za koju ponuditelj daje svoju ponudu na račun Naručitelja u OTP banka d.d., IBAN: HR0724070001500003368, </w:t>
            </w:r>
            <w:r w:rsidRPr="00F55AC2">
              <w:rPr>
                <w:i/>
              </w:rPr>
              <w:lastRenderedPageBreak/>
              <w:t xml:space="preserve">model: HR00, poziv na broj: 01-2018. </w:t>
            </w:r>
          </w:p>
          <w:p w:rsidR="00F55AC2" w:rsidRPr="00F55AC2" w:rsidRDefault="00F55AC2" w:rsidP="00F55AC2">
            <w:pPr>
              <w:jc w:val="both"/>
              <w:rPr>
                <w:i/>
              </w:rPr>
            </w:pPr>
            <w:r w:rsidRPr="00F55AC2">
              <w:rPr>
                <w:i/>
              </w:rPr>
              <w:t>Ako Ponuditelj uplati novčani polog kao jamstvo, dužan je u sklopu svoje ponude dostaviti dokaz o plaćanju na temelju kojeg se može utvrditi da je transakcija izvršena, pri čemu se dokazom smatraju i neovjerene preslike ili ispisi provedenog naloga za plaćanje, uključujući i one u elektroničkom obliku.</w:t>
            </w:r>
          </w:p>
          <w:p w:rsidR="00F55AC2" w:rsidRPr="0051468C" w:rsidRDefault="00F55AC2" w:rsidP="00F55AC2">
            <w:pPr>
              <w:jc w:val="both"/>
              <w:rPr>
                <w:b/>
              </w:rPr>
            </w:pPr>
            <w:r w:rsidRPr="00F55AC2">
              <w:rPr>
                <w:i/>
              </w:rPr>
              <w:t>U slučaju javljanja zajednice ponuditelja jamstvo uz ponudu prilaže nositelj ponude ili svi članovi zajednice solidarno ili jedan član zajednice ponuditelja na ukupan iznos.</w:t>
            </w:r>
          </w:p>
        </w:tc>
        <w:tc>
          <w:tcPr>
            <w:tcW w:w="2659" w:type="dxa"/>
            <w:vAlign w:val="center"/>
          </w:tcPr>
          <w:p w:rsidR="0051468C" w:rsidRDefault="00F55AC2" w:rsidP="006B7819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Pojašnjenje</w:t>
            </w:r>
          </w:p>
        </w:tc>
      </w:tr>
    </w:tbl>
    <w:p w:rsidR="0051468C" w:rsidRPr="00522291" w:rsidRDefault="0051468C" w:rsidP="00522291">
      <w:pPr>
        <w:spacing w:after="0"/>
        <w:jc w:val="center"/>
        <w:rPr>
          <w:b/>
        </w:rPr>
      </w:pPr>
    </w:p>
    <w:sectPr w:rsidR="0051468C" w:rsidRPr="0052229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4CE1" w:rsidRDefault="003F4CE1" w:rsidP="00522291">
      <w:pPr>
        <w:spacing w:after="0" w:line="240" w:lineRule="auto"/>
      </w:pPr>
      <w:r>
        <w:separator/>
      </w:r>
    </w:p>
  </w:endnote>
  <w:endnote w:type="continuationSeparator" w:id="0">
    <w:p w:rsidR="003F4CE1" w:rsidRDefault="003F4CE1" w:rsidP="00522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4CE1" w:rsidRDefault="003F4CE1" w:rsidP="00522291">
      <w:pPr>
        <w:spacing w:after="0" w:line="240" w:lineRule="auto"/>
      </w:pPr>
      <w:r>
        <w:separator/>
      </w:r>
    </w:p>
  </w:footnote>
  <w:footnote w:type="continuationSeparator" w:id="0">
    <w:p w:rsidR="003F4CE1" w:rsidRDefault="003F4CE1" w:rsidP="00522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819" w:rsidRDefault="006B7819">
    <w:pPr>
      <w:pStyle w:val="Header"/>
    </w:pPr>
    <w:r>
      <w:rPr>
        <w:noProof/>
        <w:sz w:val="28"/>
        <w:szCs w:val="28"/>
        <w:lang w:eastAsia="hr-HR"/>
      </w:rPr>
      <w:drawing>
        <wp:inline distT="0" distB="0" distL="0" distR="0" wp14:anchorId="6F037A50" wp14:editId="7A18ABE6">
          <wp:extent cx="2819400" cy="800100"/>
          <wp:effectExtent l="0" t="0" r="0" b="0"/>
          <wp:docPr id="1" name="Slika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440" t="18712" r="7440" b="18712"/>
                  <a:stretch>
                    <a:fillRect/>
                  </a:stretch>
                </pic:blipFill>
                <pic:spPr bwMode="auto">
                  <a:xfrm>
                    <a:off x="0" y="0"/>
                    <a:ext cx="28194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20AEA"/>
    <w:multiLevelType w:val="hybridMultilevel"/>
    <w:tmpl w:val="BFF24B8E"/>
    <w:lvl w:ilvl="0" w:tplc="041A000F">
      <w:start w:val="1"/>
      <w:numFmt w:val="decimal"/>
      <w:lvlText w:val="%1."/>
      <w:lvlJc w:val="left"/>
      <w:pPr>
        <w:ind w:left="765" w:hanging="360"/>
      </w:pPr>
    </w:lvl>
    <w:lvl w:ilvl="1" w:tplc="041A0019" w:tentative="1">
      <w:start w:val="1"/>
      <w:numFmt w:val="lowerLetter"/>
      <w:lvlText w:val="%2."/>
      <w:lvlJc w:val="left"/>
      <w:pPr>
        <w:ind w:left="1485" w:hanging="360"/>
      </w:pPr>
    </w:lvl>
    <w:lvl w:ilvl="2" w:tplc="041A001B" w:tentative="1">
      <w:start w:val="1"/>
      <w:numFmt w:val="lowerRoman"/>
      <w:lvlText w:val="%3."/>
      <w:lvlJc w:val="right"/>
      <w:pPr>
        <w:ind w:left="2205" w:hanging="180"/>
      </w:pPr>
    </w:lvl>
    <w:lvl w:ilvl="3" w:tplc="041A000F" w:tentative="1">
      <w:start w:val="1"/>
      <w:numFmt w:val="decimal"/>
      <w:lvlText w:val="%4."/>
      <w:lvlJc w:val="left"/>
      <w:pPr>
        <w:ind w:left="2925" w:hanging="360"/>
      </w:pPr>
    </w:lvl>
    <w:lvl w:ilvl="4" w:tplc="041A0019" w:tentative="1">
      <w:start w:val="1"/>
      <w:numFmt w:val="lowerLetter"/>
      <w:lvlText w:val="%5."/>
      <w:lvlJc w:val="left"/>
      <w:pPr>
        <w:ind w:left="3645" w:hanging="360"/>
      </w:pPr>
    </w:lvl>
    <w:lvl w:ilvl="5" w:tplc="041A001B" w:tentative="1">
      <w:start w:val="1"/>
      <w:numFmt w:val="lowerRoman"/>
      <w:lvlText w:val="%6."/>
      <w:lvlJc w:val="right"/>
      <w:pPr>
        <w:ind w:left="4365" w:hanging="180"/>
      </w:pPr>
    </w:lvl>
    <w:lvl w:ilvl="6" w:tplc="041A000F" w:tentative="1">
      <w:start w:val="1"/>
      <w:numFmt w:val="decimal"/>
      <w:lvlText w:val="%7."/>
      <w:lvlJc w:val="left"/>
      <w:pPr>
        <w:ind w:left="5085" w:hanging="360"/>
      </w:pPr>
    </w:lvl>
    <w:lvl w:ilvl="7" w:tplc="041A0019" w:tentative="1">
      <w:start w:val="1"/>
      <w:numFmt w:val="lowerLetter"/>
      <w:lvlText w:val="%8."/>
      <w:lvlJc w:val="left"/>
      <w:pPr>
        <w:ind w:left="5805" w:hanging="360"/>
      </w:pPr>
    </w:lvl>
    <w:lvl w:ilvl="8" w:tplc="041A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>
    <w:nsid w:val="1C1B7763"/>
    <w:multiLevelType w:val="hybridMultilevel"/>
    <w:tmpl w:val="782A6C2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F12F90"/>
    <w:multiLevelType w:val="hybridMultilevel"/>
    <w:tmpl w:val="21EE0E7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1E6179"/>
    <w:multiLevelType w:val="hybridMultilevel"/>
    <w:tmpl w:val="66368A6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4A5B9D"/>
    <w:multiLevelType w:val="hybridMultilevel"/>
    <w:tmpl w:val="6B8C330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291"/>
    <w:rsid w:val="001660E7"/>
    <w:rsid w:val="00326D3D"/>
    <w:rsid w:val="003F4CE1"/>
    <w:rsid w:val="0051468C"/>
    <w:rsid w:val="00522291"/>
    <w:rsid w:val="005855EB"/>
    <w:rsid w:val="005F098F"/>
    <w:rsid w:val="006B7819"/>
    <w:rsid w:val="0085059E"/>
    <w:rsid w:val="008578D9"/>
    <w:rsid w:val="0092108D"/>
    <w:rsid w:val="00935915"/>
    <w:rsid w:val="00944C2A"/>
    <w:rsid w:val="0095189D"/>
    <w:rsid w:val="009B1A10"/>
    <w:rsid w:val="009E7B6D"/>
    <w:rsid w:val="00A66970"/>
    <w:rsid w:val="00D9456E"/>
    <w:rsid w:val="00E220EC"/>
    <w:rsid w:val="00F55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2291"/>
  </w:style>
  <w:style w:type="paragraph" w:styleId="Footer">
    <w:name w:val="footer"/>
    <w:basedOn w:val="Normal"/>
    <w:link w:val="FooterChar"/>
    <w:uiPriority w:val="99"/>
    <w:unhideWhenUsed/>
    <w:rsid w:val="0052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2291"/>
  </w:style>
  <w:style w:type="paragraph" w:styleId="BalloonText">
    <w:name w:val="Balloon Text"/>
    <w:basedOn w:val="Normal"/>
    <w:link w:val="BalloonTextChar"/>
    <w:uiPriority w:val="99"/>
    <w:semiHidden/>
    <w:unhideWhenUsed/>
    <w:rsid w:val="00522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29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2229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146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46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2291"/>
  </w:style>
  <w:style w:type="paragraph" w:styleId="Footer">
    <w:name w:val="footer"/>
    <w:basedOn w:val="Normal"/>
    <w:link w:val="FooterChar"/>
    <w:uiPriority w:val="99"/>
    <w:unhideWhenUsed/>
    <w:rsid w:val="0052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2291"/>
  </w:style>
  <w:style w:type="paragraph" w:styleId="BalloonText">
    <w:name w:val="Balloon Text"/>
    <w:basedOn w:val="Normal"/>
    <w:link w:val="BalloonTextChar"/>
    <w:uiPriority w:val="99"/>
    <w:semiHidden/>
    <w:unhideWhenUsed/>
    <w:rsid w:val="00522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291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22291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146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146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ritas.biskupija-sisak.h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Danijela</dc:creator>
  <cp:lastModifiedBy>Danijela</cp:lastModifiedBy>
  <cp:revision>3</cp:revision>
  <dcterms:created xsi:type="dcterms:W3CDTF">2018-08-31T12:15:00Z</dcterms:created>
  <dcterms:modified xsi:type="dcterms:W3CDTF">2018-08-31T12:17:00Z</dcterms:modified>
</cp:coreProperties>
</file>